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3244"/>
        <w:gridCol w:w="2972"/>
      </w:tblGrid>
      <w:tr w:rsidR="00A7081C" w14:paraId="64F6FE9E" w14:textId="77777777" w:rsidTr="00A7081C">
        <w:trPr>
          <w:trHeight w:val="1170"/>
        </w:trPr>
        <w:tc>
          <w:tcPr>
            <w:tcW w:w="9360" w:type="dxa"/>
            <w:gridSpan w:val="3"/>
          </w:tcPr>
          <w:p w14:paraId="3AB5A13A" w14:textId="2FD79906" w:rsidR="00A7081C" w:rsidRDefault="00A7081C" w:rsidP="00A7081C"/>
        </w:tc>
      </w:tr>
      <w:tr w:rsidR="00A7081C" w:rsidRPr="00FC432B" w14:paraId="4E2DCF6C" w14:textId="77777777" w:rsidTr="00A7081C">
        <w:tc>
          <w:tcPr>
            <w:tcW w:w="3144" w:type="dxa"/>
            <w:vAlign w:val="center"/>
          </w:tcPr>
          <w:p w14:paraId="065C7D60" w14:textId="06C89FF0" w:rsidR="00A7081C" w:rsidRPr="00FC432B" w:rsidRDefault="00A7081C" w:rsidP="00A7081C">
            <w:pPr>
              <w:rPr>
                <w:rFonts w:ascii="Proxima Nova Rg" w:hAnsi="Proxima Nova Rg" w:cs="Arial"/>
                <w:noProof/>
                <w:color w:val="646569"/>
              </w:rPr>
            </w:pPr>
          </w:p>
        </w:tc>
        <w:tc>
          <w:tcPr>
            <w:tcW w:w="3244" w:type="dxa"/>
            <w:vAlign w:val="center"/>
          </w:tcPr>
          <w:p w14:paraId="05EB110A" w14:textId="3CDBF0A9" w:rsidR="00A7081C" w:rsidRPr="00FC432B" w:rsidRDefault="00A7081C" w:rsidP="00A7081C">
            <w:pPr>
              <w:rPr>
                <w:rFonts w:ascii="Proxima Nova Rg" w:hAnsi="Proxima Nova Rg"/>
                <w:noProof/>
                <w:color w:val="646569"/>
              </w:rPr>
            </w:pPr>
          </w:p>
        </w:tc>
        <w:tc>
          <w:tcPr>
            <w:tcW w:w="2972" w:type="dxa"/>
            <w:vAlign w:val="center"/>
          </w:tcPr>
          <w:p w14:paraId="25F96535" w14:textId="77777777" w:rsidR="00A7081C" w:rsidRDefault="00A7081C" w:rsidP="00A7081C">
            <w:pPr>
              <w:rPr>
                <w:rFonts w:ascii="Proxima Nova Rg" w:hAnsi="Proxima Nova Rg" w:cs="Arial"/>
                <w:b/>
                <w:bCs/>
                <w:noProof/>
                <w:color w:val="646569"/>
                <w:sz w:val="20"/>
              </w:rPr>
            </w:pPr>
          </w:p>
          <w:p w14:paraId="6BAC5B0C" w14:textId="77777777" w:rsidR="00A7081C" w:rsidRPr="00B8238F" w:rsidRDefault="00A7081C" w:rsidP="00A7081C">
            <w:pPr>
              <w:rPr>
                <w:rFonts w:ascii="Proxima Nova Rg" w:hAnsi="Proxima Nova Rg" w:cs="Arial"/>
                <w:caps/>
                <w:noProof/>
                <w:color w:val="646569"/>
                <w:sz w:val="20"/>
              </w:rPr>
            </w:pPr>
          </w:p>
        </w:tc>
      </w:tr>
    </w:tbl>
    <w:p w14:paraId="5EE625E1" w14:textId="0A379779" w:rsidR="0016566E" w:rsidRDefault="00241935">
      <w:pPr>
        <w:pStyle w:val="Header"/>
        <w:tabs>
          <w:tab w:val="clear" w:pos="4320"/>
          <w:tab w:val="clear" w:pos="8640"/>
          <w:tab w:val="left" w:pos="7740"/>
          <w:tab w:val="left" w:pos="8100"/>
        </w:tabs>
        <w:rPr>
          <w:sz w:val="24"/>
        </w:rPr>
      </w:pPr>
      <w:r>
        <w:rPr>
          <w:noProof/>
          <w:sz w:val="24"/>
          <w:szCs w:val="24"/>
        </w:rPr>
        <w:drawing>
          <wp:anchor distT="0" distB="0" distL="114300" distR="114300" simplePos="0" relativeHeight="251659264" behindDoc="0" locked="0" layoutInCell="1" allowOverlap="1" wp14:anchorId="33B7ADAA" wp14:editId="26359220">
            <wp:simplePos x="0" y="0"/>
            <wp:positionH relativeFrom="margin">
              <wp:posOffset>-228600</wp:posOffset>
            </wp:positionH>
            <wp:positionV relativeFrom="paragraph">
              <wp:posOffset>-685800</wp:posOffset>
            </wp:positionV>
            <wp:extent cx="6400800" cy="1383030"/>
            <wp:effectExtent l="0" t="0" r="0" b="7620"/>
            <wp:wrapNone/>
            <wp:docPr id="3" name="Picture 3" descr="A picture containing text, porcelain,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orcelain, ge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1383030"/>
                    </a:xfrm>
                    <a:prstGeom prst="rect">
                      <a:avLst/>
                    </a:prstGeom>
                  </pic:spPr>
                </pic:pic>
              </a:graphicData>
            </a:graphic>
            <wp14:sizeRelH relativeFrom="margin">
              <wp14:pctWidth>0</wp14:pctWidth>
            </wp14:sizeRelH>
            <wp14:sizeRelV relativeFrom="margin">
              <wp14:pctHeight>0</wp14:pctHeight>
            </wp14:sizeRelV>
          </wp:anchor>
        </w:drawing>
      </w:r>
    </w:p>
    <w:p w14:paraId="3E482365" w14:textId="7FE18851" w:rsidR="00924D18" w:rsidRPr="00911C3A" w:rsidRDefault="00AF5ECE" w:rsidP="001064D5">
      <w:pPr>
        <w:pStyle w:val="Header"/>
        <w:tabs>
          <w:tab w:val="clear" w:pos="4320"/>
          <w:tab w:val="clear" w:pos="8640"/>
          <w:tab w:val="left" w:pos="7470"/>
          <w:tab w:val="left" w:pos="8100"/>
        </w:tabs>
        <w:jc w:val="right"/>
        <w:rPr>
          <w:rFonts w:ascii="Calibri" w:hAnsi="Calibri"/>
          <w:sz w:val="24"/>
          <w:szCs w:val="24"/>
        </w:rPr>
      </w:pPr>
      <w:r>
        <w:rPr>
          <w:rFonts w:ascii="Calibri" w:hAnsi="Calibri"/>
          <w:sz w:val="24"/>
        </w:rPr>
        <w:t>November</w:t>
      </w:r>
      <w:r w:rsidR="00F13C22" w:rsidRPr="00AC10F4">
        <w:rPr>
          <w:rFonts w:ascii="Calibri" w:hAnsi="Calibri"/>
          <w:sz w:val="24"/>
        </w:rPr>
        <w:t xml:space="preserve"> </w:t>
      </w:r>
      <w:r w:rsidR="00BE471A">
        <w:rPr>
          <w:rFonts w:ascii="Calibri" w:hAnsi="Calibri"/>
          <w:sz w:val="24"/>
        </w:rPr>
        <w:t>21</w:t>
      </w:r>
      <w:r w:rsidR="00F13C22" w:rsidRPr="00A17947">
        <w:rPr>
          <w:rFonts w:ascii="Calibri" w:hAnsi="Calibri"/>
          <w:sz w:val="24"/>
        </w:rPr>
        <w:t xml:space="preserve">, </w:t>
      </w:r>
      <w:r w:rsidR="00B369A0">
        <w:rPr>
          <w:rFonts w:ascii="Calibri" w:hAnsi="Calibri"/>
          <w:sz w:val="24"/>
        </w:rPr>
        <w:t>202</w:t>
      </w:r>
      <w:r>
        <w:rPr>
          <w:rFonts w:ascii="Calibri" w:hAnsi="Calibri"/>
          <w:sz w:val="24"/>
        </w:rPr>
        <w:t>3</w:t>
      </w:r>
    </w:p>
    <w:p w14:paraId="7082C0CA" w14:textId="391B97BF" w:rsidR="00924D18" w:rsidRPr="005367E1" w:rsidRDefault="00924D18" w:rsidP="00924D18">
      <w:pPr>
        <w:pStyle w:val="Header"/>
        <w:tabs>
          <w:tab w:val="clear" w:pos="4320"/>
          <w:tab w:val="clear" w:pos="8640"/>
          <w:tab w:val="left" w:pos="7650"/>
          <w:tab w:val="left" w:pos="8100"/>
        </w:tabs>
        <w:rPr>
          <w:rFonts w:ascii="Calibri" w:hAnsi="Calibri"/>
          <w:sz w:val="24"/>
          <w:szCs w:val="24"/>
        </w:rPr>
      </w:pPr>
    </w:p>
    <w:p w14:paraId="632B0330" w14:textId="5C3A32FF" w:rsidR="00924D18" w:rsidRPr="005367E1" w:rsidRDefault="00924D18" w:rsidP="00924D18">
      <w:pPr>
        <w:pStyle w:val="Heading2"/>
        <w:jc w:val="center"/>
        <w:rPr>
          <w:rFonts w:ascii="Calibri" w:hAnsi="Calibri" w:cs="Arial"/>
          <w:b/>
          <w:bCs/>
          <w:color w:val="000000"/>
        </w:rPr>
      </w:pPr>
      <w:r w:rsidRPr="005367E1">
        <w:rPr>
          <w:rFonts w:ascii="Calibri" w:hAnsi="Calibri" w:cs="Arial"/>
          <w:b/>
          <w:bCs/>
          <w:color w:val="000000"/>
        </w:rPr>
        <w:t xml:space="preserve">Actuarial Opinion Requirements for December 31, </w:t>
      </w:r>
      <w:proofErr w:type="gramStart"/>
      <w:r w:rsidR="00B369A0">
        <w:rPr>
          <w:rFonts w:ascii="Calibri" w:hAnsi="Calibri" w:cs="Arial"/>
          <w:b/>
          <w:bCs/>
          <w:color w:val="000000"/>
        </w:rPr>
        <w:t>202</w:t>
      </w:r>
      <w:r w:rsidR="00AF5ECE">
        <w:rPr>
          <w:rFonts w:ascii="Calibri" w:hAnsi="Calibri" w:cs="Arial"/>
          <w:b/>
          <w:bCs/>
          <w:color w:val="000000"/>
        </w:rPr>
        <w:t>3</w:t>
      </w:r>
      <w:proofErr w:type="gramEnd"/>
      <w:r w:rsidRPr="005367E1">
        <w:rPr>
          <w:rFonts w:ascii="Calibri" w:hAnsi="Calibri" w:cs="Arial"/>
          <w:b/>
          <w:bCs/>
          <w:color w:val="000000"/>
        </w:rPr>
        <w:t xml:space="preserve"> Reserves</w:t>
      </w:r>
    </w:p>
    <w:p w14:paraId="04262162" w14:textId="77777777" w:rsidR="00924D18" w:rsidRPr="005367E1" w:rsidRDefault="00924D18" w:rsidP="00924D18">
      <w:pPr>
        <w:pStyle w:val="Default"/>
        <w:rPr>
          <w:rFonts w:ascii="Calibri" w:hAnsi="Calibri"/>
        </w:rPr>
      </w:pPr>
    </w:p>
    <w:p w14:paraId="45DB5104" w14:textId="77777777" w:rsidR="00924D18" w:rsidRPr="005367E1" w:rsidRDefault="00924D18" w:rsidP="00924D18">
      <w:pPr>
        <w:pStyle w:val="BodyText2"/>
        <w:jc w:val="both"/>
        <w:rPr>
          <w:rFonts w:ascii="Calibri" w:hAnsi="Calibri" w:cs="Arial"/>
          <w:color w:val="000000"/>
        </w:rPr>
      </w:pPr>
      <w:r w:rsidRPr="005367E1">
        <w:rPr>
          <w:rFonts w:ascii="Calibri" w:hAnsi="Calibri" w:cs="Arial"/>
          <w:color w:val="000000"/>
        </w:rPr>
        <w:t xml:space="preserve">The following directive applies to all life insurance companies and fraternal benefit societies doing business in </w:t>
      </w:r>
      <w:smartTag w:uri="urn:schemas-microsoft-com:office:smarttags" w:element="State">
        <w:smartTag w:uri="urn:schemas-microsoft-com:office:smarttags" w:element="PostalCode">
          <w:r w:rsidRPr="005367E1">
            <w:rPr>
              <w:rFonts w:ascii="Calibri" w:hAnsi="Calibri" w:cs="Arial"/>
              <w:color w:val="000000"/>
            </w:rPr>
            <w:t>New York</w:t>
          </w:r>
        </w:smartTag>
      </w:smartTag>
      <w:r w:rsidRPr="005367E1">
        <w:rPr>
          <w:rFonts w:ascii="Calibri" w:hAnsi="Calibri" w:cs="Arial"/>
          <w:color w:val="000000"/>
        </w:rPr>
        <w:t xml:space="preserve"> and all insurers holding a certificate from the superintendent as being accredited for the reinsurance of life insurance, annuities, or accident and health insurance. </w:t>
      </w:r>
    </w:p>
    <w:p w14:paraId="09BFEAF0" w14:textId="77777777" w:rsidR="00924D18" w:rsidRPr="005367E1" w:rsidRDefault="00924D18" w:rsidP="00924D18">
      <w:pPr>
        <w:pStyle w:val="Default"/>
        <w:jc w:val="both"/>
        <w:rPr>
          <w:rFonts w:ascii="Calibri" w:hAnsi="Calibri"/>
        </w:rPr>
      </w:pPr>
    </w:p>
    <w:p w14:paraId="22A49C8E" w14:textId="43788005" w:rsidR="00924D18" w:rsidRPr="005367E1" w:rsidRDefault="00924D18" w:rsidP="00924D18">
      <w:pPr>
        <w:pStyle w:val="Default"/>
        <w:jc w:val="both"/>
        <w:rPr>
          <w:rFonts w:ascii="Calibri" w:hAnsi="Calibri"/>
        </w:rPr>
      </w:pPr>
      <w:r w:rsidRPr="005367E1">
        <w:rPr>
          <w:rFonts w:ascii="Calibri" w:hAnsi="Calibri"/>
        </w:rPr>
        <w:t xml:space="preserve">The Department is requiring that all New York State domestic companies which (a) are licensed in more than one state and are classified as Category A or Category B companies or (b) have admitted assets in excess of $100 million, submit a Statement of Actuarial Opinion based on Asset Adequacy Analysis for December 31, </w:t>
      </w:r>
      <w:r w:rsidR="00B369A0">
        <w:rPr>
          <w:rFonts w:ascii="Calibri" w:hAnsi="Calibri"/>
        </w:rPr>
        <w:t>202</w:t>
      </w:r>
      <w:r w:rsidR="00AF5ECE">
        <w:rPr>
          <w:rFonts w:ascii="Calibri" w:hAnsi="Calibri"/>
        </w:rPr>
        <w:t>3</w:t>
      </w:r>
      <w:r w:rsidRPr="005367E1">
        <w:rPr>
          <w:rFonts w:ascii="Calibri" w:hAnsi="Calibri"/>
        </w:rPr>
        <w:t xml:space="preserve"> reserves, with additional reserves established as appropriate.</w:t>
      </w:r>
    </w:p>
    <w:p w14:paraId="2016C33D" w14:textId="77777777" w:rsidR="00924D18" w:rsidRPr="005367E1" w:rsidRDefault="00924D18" w:rsidP="00924D18">
      <w:pPr>
        <w:pStyle w:val="BodyText3"/>
        <w:jc w:val="both"/>
        <w:rPr>
          <w:rFonts w:ascii="Calibri" w:hAnsi="Calibri" w:cs="Arial"/>
          <w:color w:val="000000"/>
        </w:rPr>
      </w:pPr>
    </w:p>
    <w:p w14:paraId="244CB1DC" w14:textId="77777777" w:rsidR="00924D18" w:rsidRPr="005367E1" w:rsidRDefault="00924D18" w:rsidP="00924D18">
      <w:pPr>
        <w:pStyle w:val="Default"/>
        <w:jc w:val="both"/>
        <w:rPr>
          <w:rFonts w:ascii="Calibri" w:hAnsi="Calibri"/>
        </w:rPr>
      </w:pPr>
      <w:r w:rsidRPr="005367E1">
        <w:rPr>
          <w:rFonts w:ascii="Calibri" w:hAnsi="Calibri"/>
        </w:rPr>
        <w:t>This directive affects all multi-state domestic life insurers and fraternal benefit societies which are classified as Category A and B companies and all life insurers, reinsurers, and fraternal benefit societies which are classified as Category C companies, as defined in Section 95.6 (b) of Regulation 126 and foregoes the exemption eligibility tests provided in Sections 95.6 (c)(1), (2), and (5) of Regulation 126.</w:t>
      </w:r>
    </w:p>
    <w:p w14:paraId="2D500F54" w14:textId="77777777" w:rsidR="00924D18" w:rsidRPr="005367E1" w:rsidRDefault="00924D18" w:rsidP="00924D18">
      <w:pPr>
        <w:pStyle w:val="Default"/>
        <w:rPr>
          <w:rFonts w:ascii="Calibri" w:hAnsi="Calibri"/>
        </w:rPr>
      </w:pPr>
    </w:p>
    <w:p w14:paraId="7368CB26" w14:textId="77777777" w:rsidR="00924D18" w:rsidRPr="005367E1" w:rsidRDefault="00924D18" w:rsidP="00924D18">
      <w:pPr>
        <w:pStyle w:val="Default"/>
        <w:jc w:val="both"/>
        <w:rPr>
          <w:rFonts w:ascii="Calibri" w:hAnsi="Calibri"/>
        </w:rPr>
      </w:pPr>
      <w:r w:rsidRPr="005367E1">
        <w:rPr>
          <w:rFonts w:ascii="Calibri" w:hAnsi="Calibri"/>
        </w:rPr>
        <w:t>New York-only licensed insurers which are classified as Category A and Category B companies may continue to submit a Statement of Actuarial Opinion Not Including Asset Adequacy Analysis, provided that the company meets the exemption eligibility tests set forth in Sections 95.6 (c)(1) or (2) of Regulation 126.  Please note, the Department may require a company otherwise exempt to provide a Statement of Actuarial Opinion based on Asset Adequacy Analysis pursuant to Section 95.3(c) of Regulation 126.</w:t>
      </w:r>
    </w:p>
    <w:p w14:paraId="16467581" w14:textId="77777777" w:rsidR="00924D18" w:rsidRPr="005367E1" w:rsidRDefault="00924D18" w:rsidP="00924D18">
      <w:pPr>
        <w:pStyle w:val="Default"/>
        <w:jc w:val="both"/>
        <w:rPr>
          <w:rFonts w:ascii="Calibri" w:hAnsi="Calibri"/>
        </w:rPr>
      </w:pPr>
    </w:p>
    <w:p w14:paraId="2816A3B7" w14:textId="669534EC" w:rsidR="00924D18" w:rsidRPr="005367E1" w:rsidRDefault="00924D18" w:rsidP="00924D18">
      <w:pPr>
        <w:jc w:val="both"/>
        <w:rPr>
          <w:rFonts w:ascii="Calibri" w:hAnsi="Calibri"/>
          <w:sz w:val="24"/>
          <w:szCs w:val="24"/>
        </w:rPr>
      </w:pPr>
      <w:r w:rsidRPr="005367E1">
        <w:rPr>
          <w:rFonts w:ascii="Calibri" w:hAnsi="Calibri"/>
          <w:sz w:val="24"/>
          <w:szCs w:val="24"/>
        </w:rPr>
        <w:t>Such submission is due on or before March 1</w:t>
      </w:r>
      <w:r w:rsidR="000906FC">
        <w:rPr>
          <w:rFonts w:ascii="Calibri" w:hAnsi="Calibri"/>
          <w:sz w:val="24"/>
          <w:szCs w:val="24"/>
        </w:rPr>
        <w:t xml:space="preserve">, </w:t>
      </w:r>
      <w:r w:rsidR="00B369A0">
        <w:rPr>
          <w:rFonts w:ascii="Calibri" w:hAnsi="Calibri"/>
          <w:sz w:val="24"/>
          <w:szCs w:val="24"/>
        </w:rPr>
        <w:t>202</w:t>
      </w:r>
      <w:r w:rsidR="00AF5ECE">
        <w:rPr>
          <w:rFonts w:ascii="Calibri" w:hAnsi="Calibri"/>
          <w:sz w:val="24"/>
          <w:szCs w:val="24"/>
        </w:rPr>
        <w:t>4</w:t>
      </w:r>
      <w:r w:rsidRPr="005367E1">
        <w:rPr>
          <w:rFonts w:ascii="Calibri" w:hAnsi="Calibri"/>
          <w:sz w:val="24"/>
          <w:szCs w:val="24"/>
        </w:rPr>
        <w:t>.</w:t>
      </w:r>
    </w:p>
    <w:p w14:paraId="079372C2" w14:textId="77777777" w:rsidR="00924D18" w:rsidRDefault="00924D18" w:rsidP="00924D18">
      <w:pPr>
        <w:pStyle w:val="Header"/>
        <w:tabs>
          <w:tab w:val="clear" w:pos="4320"/>
          <w:tab w:val="clear" w:pos="8640"/>
          <w:tab w:val="left" w:pos="7650"/>
          <w:tab w:val="left" w:pos="8100"/>
        </w:tabs>
        <w:rPr>
          <w:rFonts w:ascii="Calibri" w:hAnsi="Calibri"/>
          <w:sz w:val="24"/>
          <w:szCs w:val="24"/>
        </w:rPr>
      </w:pPr>
    </w:p>
    <w:p w14:paraId="3EA636B2" w14:textId="77777777" w:rsidR="001C7232" w:rsidRDefault="001C7232" w:rsidP="00924D18">
      <w:pPr>
        <w:pStyle w:val="Header"/>
        <w:tabs>
          <w:tab w:val="clear" w:pos="4320"/>
          <w:tab w:val="clear" w:pos="8640"/>
          <w:tab w:val="left" w:pos="7650"/>
          <w:tab w:val="left" w:pos="8100"/>
        </w:tabs>
        <w:rPr>
          <w:rFonts w:ascii="Calibri" w:hAnsi="Calibri"/>
          <w:sz w:val="24"/>
          <w:szCs w:val="24"/>
        </w:rPr>
      </w:pPr>
    </w:p>
    <w:p w14:paraId="098D29AD" w14:textId="77777777" w:rsidR="001C7232" w:rsidRDefault="001C7232" w:rsidP="00924D18">
      <w:pPr>
        <w:pStyle w:val="Header"/>
        <w:tabs>
          <w:tab w:val="clear" w:pos="4320"/>
          <w:tab w:val="clear" w:pos="8640"/>
          <w:tab w:val="left" w:pos="7650"/>
          <w:tab w:val="left" w:pos="8100"/>
        </w:tabs>
        <w:rPr>
          <w:rFonts w:ascii="Calibri" w:hAnsi="Calibri"/>
          <w:sz w:val="24"/>
          <w:szCs w:val="24"/>
        </w:rPr>
      </w:pPr>
    </w:p>
    <w:sectPr w:rsidR="001C723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AF30" w14:textId="77777777" w:rsidR="00001BE4" w:rsidRDefault="00001BE4">
      <w:r>
        <w:separator/>
      </w:r>
    </w:p>
  </w:endnote>
  <w:endnote w:type="continuationSeparator" w:id="0">
    <w:p w14:paraId="456C54EE" w14:textId="77777777" w:rsidR="00001BE4" w:rsidRDefault="0000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4396" w14:textId="535FEDFD" w:rsidR="000C17C6" w:rsidRPr="001C7232" w:rsidRDefault="00241935">
    <w:pPr>
      <w:pStyle w:val="Footer-Address"/>
      <w:jc w:val="center"/>
      <w:rPr>
        <w:rFonts w:ascii="Calibri" w:hAnsi="Calibri"/>
        <w:b/>
        <w:color w:val="808080"/>
      </w:rPr>
    </w:pPr>
    <w:r w:rsidRPr="00833D18">
      <w:rPr>
        <w:rFonts w:ascii="Times New Roman" w:hAnsi="Times New Roman"/>
        <w:noProof/>
        <w:sz w:val="24"/>
        <w:szCs w:val="24"/>
      </w:rPr>
      <w:drawing>
        <wp:anchor distT="274320" distB="0" distL="114300" distR="114300" simplePos="0" relativeHeight="251659264" behindDoc="0" locked="1" layoutInCell="1" allowOverlap="0" wp14:anchorId="2E5F9BBD" wp14:editId="24E66074">
          <wp:simplePos x="0" y="0"/>
          <wp:positionH relativeFrom="page">
            <wp:posOffset>1650365</wp:posOffset>
          </wp:positionH>
          <wp:positionV relativeFrom="page">
            <wp:posOffset>9372600</wp:posOffset>
          </wp:positionV>
          <wp:extent cx="4471416" cy="338328"/>
          <wp:effectExtent l="0" t="0" r="0" b="5080"/>
          <wp:wrapTopAndBottom/>
          <wp:docPr id="2" name="Picture 2" descr="The New York State Department of Financial Services, Equitable, Innovative, Collaborativ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ew York State Department of Financial Services, Equitable, Innovative, Collaborative, Transpar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416" cy="3383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4158" w14:textId="77777777" w:rsidR="00001BE4" w:rsidRDefault="00001BE4">
      <w:r>
        <w:separator/>
      </w:r>
    </w:p>
  </w:footnote>
  <w:footnote w:type="continuationSeparator" w:id="0">
    <w:p w14:paraId="3C355494" w14:textId="77777777" w:rsidR="00001BE4" w:rsidRDefault="00001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EF"/>
    <w:rsid w:val="00001BE4"/>
    <w:rsid w:val="000906FC"/>
    <w:rsid w:val="000C17C6"/>
    <w:rsid w:val="000F1DAC"/>
    <w:rsid w:val="001064D5"/>
    <w:rsid w:val="00143DFD"/>
    <w:rsid w:val="0016566E"/>
    <w:rsid w:val="001B495C"/>
    <w:rsid w:val="001C7232"/>
    <w:rsid w:val="001F3DAB"/>
    <w:rsid w:val="00241935"/>
    <w:rsid w:val="002F0731"/>
    <w:rsid w:val="00355289"/>
    <w:rsid w:val="0036438C"/>
    <w:rsid w:val="003E78C9"/>
    <w:rsid w:val="0044095B"/>
    <w:rsid w:val="00517A3D"/>
    <w:rsid w:val="005367E1"/>
    <w:rsid w:val="0059154A"/>
    <w:rsid w:val="005A71F8"/>
    <w:rsid w:val="00682B53"/>
    <w:rsid w:val="00797D09"/>
    <w:rsid w:val="007C7234"/>
    <w:rsid w:val="007F0DE3"/>
    <w:rsid w:val="007F4FD8"/>
    <w:rsid w:val="00840127"/>
    <w:rsid w:val="00841493"/>
    <w:rsid w:val="00876D70"/>
    <w:rsid w:val="00882BAE"/>
    <w:rsid w:val="008E791C"/>
    <w:rsid w:val="00911C3A"/>
    <w:rsid w:val="00924D18"/>
    <w:rsid w:val="00A17947"/>
    <w:rsid w:val="00A56583"/>
    <w:rsid w:val="00A7081C"/>
    <w:rsid w:val="00AA5411"/>
    <w:rsid w:val="00AC10F4"/>
    <w:rsid w:val="00AD27B1"/>
    <w:rsid w:val="00AF5ECE"/>
    <w:rsid w:val="00B369A0"/>
    <w:rsid w:val="00B561D6"/>
    <w:rsid w:val="00BE471A"/>
    <w:rsid w:val="00BE5B9E"/>
    <w:rsid w:val="00CD40E6"/>
    <w:rsid w:val="00D13E11"/>
    <w:rsid w:val="00D92620"/>
    <w:rsid w:val="00DA02D9"/>
    <w:rsid w:val="00DA05A1"/>
    <w:rsid w:val="00DC5565"/>
    <w:rsid w:val="00DE6CFF"/>
    <w:rsid w:val="00E00307"/>
    <w:rsid w:val="00E83C90"/>
    <w:rsid w:val="00F13C22"/>
    <w:rsid w:val="00F508EF"/>
    <w:rsid w:val="00FE2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8EEA267"/>
  <w15:docId w15:val="{6DFAC771-7C19-4886-AC82-8844A3A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Default"/>
    <w:next w:val="Default"/>
    <w:qFormat/>
    <w:rsid w:val="00924D18"/>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oter-Address">
    <w:name w:val="Footer - Address"/>
    <w:basedOn w:val="Normal"/>
    <w:qFormat/>
    <w:pPr>
      <w:spacing w:line="276" w:lineRule="auto"/>
    </w:pPr>
    <w:rPr>
      <w:rFonts w:ascii="Corbel" w:eastAsia="Corbel" w:hAnsi="Corbel"/>
      <w:caps/>
      <w:color w:val="FFFF00"/>
      <w:spacing w:val="20"/>
      <w:sz w:val="16"/>
    </w:rPr>
  </w:style>
  <w:style w:type="paragraph" w:customStyle="1" w:styleId="Default">
    <w:name w:val="Default"/>
    <w:rsid w:val="00924D18"/>
    <w:pPr>
      <w:autoSpaceDE w:val="0"/>
      <w:autoSpaceDN w:val="0"/>
      <w:adjustRightInd w:val="0"/>
    </w:pPr>
    <w:rPr>
      <w:rFonts w:ascii="Arial" w:hAnsi="Arial" w:cs="Arial"/>
      <w:color w:val="000000"/>
      <w:sz w:val="24"/>
      <w:szCs w:val="24"/>
    </w:rPr>
  </w:style>
  <w:style w:type="paragraph" w:styleId="BodyText2">
    <w:name w:val="Body Text 2"/>
    <w:basedOn w:val="Default"/>
    <w:next w:val="Default"/>
    <w:rsid w:val="00924D18"/>
    <w:rPr>
      <w:rFonts w:cs="Times New Roman"/>
      <w:color w:val="auto"/>
    </w:rPr>
  </w:style>
  <w:style w:type="paragraph" w:styleId="BodyText3">
    <w:name w:val="Body Text 3"/>
    <w:basedOn w:val="Default"/>
    <w:next w:val="Default"/>
    <w:rsid w:val="00924D18"/>
    <w:rPr>
      <w:rFonts w:cs="Times New Roman"/>
      <w:color w:val="auto"/>
    </w:rPr>
  </w:style>
  <w:style w:type="paragraph" w:styleId="BalloonText">
    <w:name w:val="Balloon Text"/>
    <w:basedOn w:val="Normal"/>
    <w:semiHidden/>
    <w:rsid w:val="000906FC"/>
    <w:rPr>
      <w:rFonts w:ascii="Tahoma" w:hAnsi="Tahoma" w:cs="Tahoma"/>
      <w:sz w:val="16"/>
      <w:szCs w:val="16"/>
    </w:rPr>
  </w:style>
  <w:style w:type="character" w:styleId="CommentReference">
    <w:name w:val="annotation reference"/>
    <w:basedOn w:val="DefaultParagraphFont"/>
    <w:semiHidden/>
    <w:unhideWhenUsed/>
    <w:rsid w:val="00840127"/>
    <w:rPr>
      <w:sz w:val="16"/>
      <w:szCs w:val="16"/>
    </w:rPr>
  </w:style>
  <w:style w:type="paragraph" w:styleId="CommentText">
    <w:name w:val="annotation text"/>
    <w:basedOn w:val="Normal"/>
    <w:link w:val="CommentTextChar"/>
    <w:semiHidden/>
    <w:unhideWhenUsed/>
    <w:rsid w:val="00840127"/>
  </w:style>
  <w:style w:type="character" w:customStyle="1" w:styleId="CommentTextChar">
    <w:name w:val="Comment Text Char"/>
    <w:basedOn w:val="DefaultParagraphFont"/>
    <w:link w:val="CommentText"/>
    <w:semiHidden/>
    <w:rsid w:val="00840127"/>
  </w:style>
  <w:style w:type="paragraph" w:styleId="CommentSubject">
    <w:name w:val="annotation subject"/>
    <w:basedOn w:val="CommentText"/>
    <w:next w:val="CommentText"/>
    <w:link w:val="CommentSubjectChar"/>
    <w:semiHidden/>
    <w:unhideWhenUsed/>
    <w:rsid w:val="00840127"/>
    <w:rPr>
      <w:b/>
      <w:bCs/>
    </w:rPr>
  </w:style>
  <w:style w:type="character" w:customStyle="1" w:styleId="CommentSubjectChar">
    <w:name w:val="Comment Subject Char"/>
    <w:basedOn w:val="CommentTextChar"/>
    <w:link w:val="CommentSubject"/>
    <w:semiHidden/>
    <w:rsid w:val="00840127"/>
    <w:rPr>
      <w:b/>
      <w:bCs/>
    </w:rPr>
  </w:style>
  <w:style w:type="table" w:styleId="TableGrid">
    <w:name w:val="Table Grid"/>
    <w:basedOn w:val="TableNormal"/>
    <w:uiPriority w:val="59"/>
    <w:rsid w:val="00A708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LIF\Tmplat97\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C326-0A09-42AC-8469-7B64EC7E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letterhd.dot</Template>
  <TotalTime>43</TotalTime>
  <Pages>1</Pages>
  <Words>265</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Andrew M</vt:lpstr>
    </vt:vector>
  </TitlesOfParts>
  <Company>NYSID</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NYSDFS</dc:title>
  <dc:creator>7600User</dc:creator>
  <cp:lastModifiedBy>Wright, Christian (DFS)</cp:lastModifiedBy>
  <cp:revision>9</cp:revision>
  <cp:lastPrinted>2012-12-19T13:58:00Z</cp:lastPrinted>
  <dcterms:created xsi:type="dcterms:W3CDTF">2021-10-25T17:25:00Z</dcterms:created>
  <dcterms:modified xsi:type="dcterms:W3CDTF">2023-11-21T19:35:00Z</dcterms:modified>
</cp:coreProperties>
</file>